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听力放音设备采购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内蒙古自治区教育考试院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内蒙古自治区公共资源交易中心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NMGZC-G-H-250017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内蒙古自治区公共资源交易中心</w:t>
      </w:r>
      <w:r>
        <w:rPr>
          <w:rFonts w:ascii="仿宋_GB2312" w:hAnsi="仿宋_GB2312" w:cs="仿宋_GB2312" w:eastAsia="仿宋_GB2312"/>
        </w:rPr>
        <w:t xml:space="preserve"> 受 </w:t>
      </w:r>
      <w:r>
        <w:rPr>
          <w:rFonts w:ascii="仿宋_GB2312" w:hAnsi="仿宋_GB2312" w:cs="仿宋_GB2312" w:eastAsia="仿宋_GB2312"/>
        </w:rPr>
        <w:t>内蒙古自治区教育考试院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听力放音设备采购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听力放音设备采购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NMGZC-G-H-250017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内政采计划[2025]01161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音箱</w:t>
            </w:r>
          </w:p>
        </w:tc>
        <w:tc>
          <w:tcPr>
            <w:tcW w:type="dxa" w:w="831"/>
          </w:tcPr>
          <w:p>
            <w:pPr>
              <w:pStyle w:val="null5"/>
              <w:jc w:val="right"/>
            </w:pPr>
            <w:r>
              <w:rPr>
                <w:rFonts w:ascii="仿宋_GB2312" w:hAnsi="仿宋_GB2312" w:cs="仿宋_GB2312" w:eastAsia="仿宋_GB2312"/>
              </w:rPr>
              <w:t>9,600.00</w:t>
            </w:r>
          </w:p>
        </w:tc>
        <w:tc>
          <w:tcPr>
            <w:tcW w:type="dxa" w:w="831"/>
          </w:tcPr>
          <w:p>
            <w:pPr>
              <w:pStyle w:val="null5"/>
              <w:jc w:val="right"/>
            </w:pPr>
            <w:r>
              <w:rPr>
                <w:rFonts w:ascii="仿宋_GB2312" w:hAnsi="仿宋_GB2312" w:cs="仿宋_GB2312" w:eastAsia="仿宋_GB2312"/>
              </w:rPr>
              <w:t>3,100,000.00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内蒙古自治区公共资源交易中心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内蒙古自治区呼和浩特市赛罕区内蒙古呼和浩特市赛罕区敕勒川大街6号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李婉君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0471-5332600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内蒙古自治区教育考试院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内蒙古自治区教育考试院</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李卿</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3261710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质疑联系人：阮佳 联系电话：0471-5332613</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内蒙古自治区教育考试院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内蒙古自治区公共资源交易中心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 2.提供递交投标文件截止之日前一年内（至少一个月）缴纳社会保险的凭证。（以专用收据或社会保险缴纳清单为准） 。 注：其他组织和自然人也需要提供缴纳税收的凭据和缴纳社保的凭据。依法免税或不需要缴纳社会保障资金的供应商，应提供相应文件证明其依法免税或不需要缴纳社会保障资金。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内蒙古自治区教育考试院采购9600台移动便携音箱，用于中、高考等相关考试听力播放。</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合同签订后50个日历日内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内蒙古自治区12个盟市教育招生考试机构，具体 配送数量以合同约定为准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1、签订合同后15个工作日内，支付30%的合同款，达到付款条件起15日，支付合同总金额的30.00%</w:t>
            </w:r>
          </w:p>
          <w:p>
            <w:pPr>
              <w:pStyle w:val="null5"/>
              <w:jc w:val="left"/>
            </w:pPr>
            <w:r>
              <w:rPr>
                <w:rFonts w:ascii="仿宋_GB2312" w:hAnsi="仿宋_GB2312" w:cs="仿宋_GB2312" w:eastAsia="仿宋_GB2312"/>
              </w:rPr>
              <w:t>2、项目验收完成后，支付70%的合同款，达到付款条件起30日，支付合同总金额的70.00%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√产品架构：要求设备为国产设备。</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√音频质量：信噪比≥80dB；频响范围：100-18000Hz；额定功率≥20W。信噪比、频响范围、额定功率均需要提供第三方检测报告。</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√音频格式：支持wav，mp3，wma等格式。wav，mp3，wma格式均需要提供第三方检测报告。</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播放控制：具备上一曲、下一曲、播放、暂停、录音等功能。</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播放模式：支持U盘、外音输入、蓝牙等功能。</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√电源与续航：充电接口支持type-c或USB或具备独立充电模块；电池容量≥6000mAh；阻抗≥4欧。</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配置显示屏，能够显示模式及电量信息。</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配置电源适配器、充电线。</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外壳使用防摔耐磨材质，带提手。</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√能够支持U盘插入后以U盘为第一媒体播放介质并可自动播放。</w:t>
            </w:r>
          </w:p>
        </w:tc>
      </w:tr>
      <w:tr>
        <w:tc>
          <w:tcPr>
            <w:tcW w:type="dxa" w:w="2769"/>
          </w:tcPr>
          <w:p>
            <w:pPr>
              <w:pStyle w:val="null5"/>
              <w:jc w:val="left"/>
            </w:pPr>
            <w:r>
              <w:rPr>
                <w:rFonts w:ascii="仿宋_GB2312" w:hAnsi="仿宋_GB2312" w:cs="仿宋_GB2312" w:eastAsia="仿宋_GB2312"/>
              </w:rPr>
              <w:t>11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★提供针对本项目采购人要求供货时间的承诺函，并加盖公章。</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技术部分6.00分</w:t>
            </w:r>
          </w:p>
          <w:p>
            <w:pPr>
              <w:pStyle w:val="null5"/>
              <w:jc w:val="left"/>
            </w:pPr>
            <w:r>
              <w:rPr>
                <w:rFonts w:ascii="仿宋_GB2312" w:hAnsi="仿宋_GB2312" w:cs="仿宋_GB2312" w:eastAsia="仿宋_GB2312"/>
              </w:rPr>
              <w:t>商务部分64.00分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投标人2022年1月至响应文件递交截止时间止，每具有一项同类业绩得1分，本项最多得6分（提供合同扫描件或复印件，以合同的签订时间为准）。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技术响应程度</w:t>
            </w:r>
          </w:p>
        </w:tc>
        <w:tc>
          <w:tcPr>
            <w:tcW w:type="dxa" w:w="3115"/>
          </w:tcPr>
          <w:p>
            <w:pPr>
              <w:pStyle w:val="null5"/>
              <w:jc w:val="left"/>
            </w:pPr>
            <w:r>
              <w:rPr>
                <w:rFonts w:ascii="仿宋_GB2312" w:hAnsi="仿宋_GB2312" w:cs="仿宋_GB2312" w:eastAsia="仿宋_GB2312"/>
              </w:rPr>
              <w:t>投标产品技术指标对招标文件规定的“技术参数要求”完全满足得15分；标注“√”的参数每负偏离1项扣2分；未标注“√”的参数，不满足或负偏离1项扣1分，扣完为止；标注“★”的参数，不满足或负偏离视为无效投标。要求提供但未提供产品检测报告的视为不满足。</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产品质量保障</w:t>
            </w:r>
          </w:p>
        </w:tc>
        <w:tc>
          <w:tcPr>
            <w:tcW w:type="dxa" w:w="3115"/>
          </w:tcPr>
          <w:p>
            <w:pPr>
              <w:pStyle w:val="null5"/>
              <w:jc w:val="left"/>
            </w:pPr>
            <w:r>
              <w:rPr>
                <w:rFonts w:ascii="仿宋_GB2312" w:hAnsi="仿宋_GB2312" w:cs="仿宋_GB2312" w:eastAsia="仿宋_GB2312"/>
              </w:rPr>
              <w:t>产品用作高考等考试听力播放设备，对质量要求高。产品具备完善的产品检验流程和标准（0-5分）；生产过程中的质量控制点和检验方法，关键工序的质量控制要求（0-5分）； 质量控制措施（0-5分）。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现场样品演示</w:t>
            </w:r>
          </w:p>
        </w:tc>
        <w:tc>
          <w:tcPr>
            <w:tcW w:type="dxa" w:w="3115"/>
          </w:tcPr>
          <w:p>
            <w:pPr>
              <w:pStyle w:val="null5"/>
              <w:jc w:val="left"/>
            </w:pPr>
            <w:r>
              <w:rPr>
                <w:rFonts w:ascii="仿宋_GB2312" w:hAnsi="仿宋_GB2312" w:cs="仿宋_GB2312" w:eastAsia="仿宋_GB2312"/>
              </w:rPr>
              <w:t>设备播放稳定，无吃音、能完整还原音头部分（0-3分）； 设备播放流畅，播放过程中无卡顿、无噪音（0-3分）； 设备在最大音量及适当音量下播放时，各频段响度均匀，平衡度（0-4分）； 现场演示提示：开标当日上午9:30请携带设备（使用无品牌标识的纸箱包装）公共资源交易中心九楼大厅交工作人员，评标结束后，1日内需取回演示样品，逾期不予保管，演示用U盘由采购人提供，演示时长5分钟。</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应急方案包括但不限于应急预案及处置措施等（0-5分）； 制定应急处置流程及措施，包括全过程处理流程（0-5分）。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投标人提供的售后服务内容包括但不限于服务质量、响应时间、重大考试现场技术保障服务等。具有售后服务体系（0-5分）； 具有重大考试现场技术保障服务承诺及方案（0-4分），并能够及时响应（0-5分）。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