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低值医用耗材采购平台招标项目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包头市中心医院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中罡项目管理（内蒙古）有限公司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BTZCS-G-H-250022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中罡项目管理（内蒙古）有限公司</w:t>
      </w:r>
      <w:r>
        <w:rPr>
          <w:rFonts w:ascii="仿宋_GB2312" w:hAnsi="仿宋_GB2312" w:cs="仿宋_GB2312" w:eastAsia="仿宋_GB2312"/>
        </w:rPr>
        <w:t xml:space="preserve"> 受 </w:t>
      </w:r>
      <w:r>
        <w:rPr>
          <w:rFonts w:ascii="仿宋_GB2312" w:hAnsi="仿宋_GB2312" w:cs="仿宋_GB2312" w:eastAsia="仿宋_GB2312"/>
        </w:rPr>
        <w:t>包头市中心医院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低值医用耗材采购平台招标项目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低值医用耗材采购平台招标项目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BTZCS-G-H-250022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包政采计划[2025]00589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医用耗材包1</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20,000,000.00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医用耗材包2</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1、专用资格要求：投标人如为生产制造商，须具备《医疗器械生产许可证》，且证书在有效期内； 投标人如为代理商，须提供《医疗器械经营许可证》，且证书在有效期内； 如属二类医疗器械，则须提供《第二类医疗器械经营备案凭证》，且证书在有效期内。</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1、专用资格要求：投标人如为生产制造商，须具备《医疗器械生产许可证》，且证书在有效期内； 投标人如为代理商，须提供《医疗器械经营许可证》，且证书在有效期内； 如属二类医疗器械，则须提供《第二类医疗器械经营备案凭证》，且证书在有效期内。</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中罡项目管理（内蒙古）有限公司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包头市昆都仑区神华公寓B座1单元3楼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王工、杨工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18686114572、15332930690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包头市中心医院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内蒙古自治区包头市东河区环城西路院内</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0472-6955207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代理服务费收费标准：由中标单位以中标通知书中载明的中标总价为计算基数按照以下规则计取收费：500万以下*1.5%、500-1000万*0.8%，1000-5000万*0.5% 招标代理服务收费按差额定率累进法计算。以每个中标通知书的中标金额为计费基数。</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包头市中心医院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中罡项目管理（内蒙古）有限公司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审查投标人近一年（2023年或2024年）度经会计师事务所出具的财务审计报告或其基本开户银行出具的近一年（2024年-2025年）内的银行资信证明。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 xml:space="preserve"> 1.提供递交相应文件截止之日前一年内（至少一个月）的良好缴纳税收的相关凭据。（以税务机关提供的纳税凭据或银行入账单为准）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审查投标人近一年（2023年或2024年）度经会计师事务所出具的财务审计报告或其基本开户银行出具的近一年（2024年-2025年）内的银行资信证明。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1.提供递交相应文件截止之日前一年内（至少一个月）的良好缴纳税收的相关凭据。（以税务机关提供的纳税凭据或银行入账单为准）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专用资格要求</w:t>
            </w:r>
          </w:p>
        </w:tc>
        <w:tc>
          <w:tcPr>
            <w:tcW w:type="dxa" w:w="4984"/>
          </w:tcPr>
          <w:p>
            <w:pPr>
              <w:pStyle w:val="null5"/>
              <w:jc w:val="left"/>
            </w:pPr>
            <w:r>
              <w:rPr>
                <w:rFonts w:ascii="仿宋_GB2312" w:hAnsi="仿宋_GB2312" w:cs="仿宋_GB2312" w:eastAsia="仿宋_GB2312"/>
              </w:rPr>
              <w:t>投标人如为生产制造商，须具备《医疗器械生产许可证》，且证书在有效期内； 投标人如为代理商，须提供《医疗器械经营许可证》，且证书在有效期内； 如属二类医疗器械，则须提供《第二类医疗器械经营备案凭证》，且证书在有效期内。</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专用资格要求</w:t>
            </w:r>
          </w:p>
        </w:tc>
        <w:tc>
          <w:tcPr>
            <w:tcW w:type="dxa" w:w="4984"/>
          </w:tcPr>
          <w:p>
            <w:pPr>
              <w:pStyle w:val="null5"/>
              <w:jc w:val="left"/>
            </w:pPr>
            <w:r>
              <w:rPr>
                <w:rFonts w:ascii="仿宋_GB2312" w:hAnsi="仿宋_GB2312" w:cs="仿宋_GB2312" w:eastAsia="仿宋_GB2312"/>
              </w:rPr>
              <w:t>投标人如为生产制造商，须具备《医疗器械生产许可证》，且证书在有效期内； 投标人如为代理商，须提供《医疗器械经营许可证》，且证书在有效期内； 如属二类医疗器械，则须提供《第二类医疗器械经营备案凭证》，且证书在有效期内。</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为规范包头市中心医院低值医用耗材配送管理，实现配送方与医院共建SPD平台，经党委办公会讨论，一致同意对低值耗材配送平台进行招标。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包头市中心医院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2、每批耗材到货验收合格后，6个月之内支付本次所供耗材货款的100%，达到付款条件起10日，支付合同总金额的10.00%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3、每批耗材到货验收合格后，6个月之内支付本次所供耗材货款的100%，达到付款条件起10日，支付合同总金额的10.00%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4、每批耗材到货验收合格后，6个月之内支付本次所供耗材货款的100%，达到付款条件起10日，支付合同总金额的10.00%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5、每批耗材到货验收合格后，6个月之内支付本次所供耗材货款的100%，达到付款条件起10日，支付合同总金额的10.00%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6、每批耗材到货验收合格后，6个月之内支付本次所供耗材货款的100%，达到付款条件起10日，支付合同总金额的10.00%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7、每批耗材到货验收合格后，6个月之内支付本次所供耗材货款的100%，达到付款条件起10日，支付合同总金额的10.00%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8、每批耗材到货验收合格后，6个月之内支付本次所供耗材货款的100%，达到付款条件起10日，支付合同总金额的10.00%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9、每批耗材到货验收合格后，6个月之内支付本次所供耗材货款的100%，达到付款条件起10日，支付合同总金额的10.00%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10、每批耗材到货验收合格后，6个月之内支付本次所供耗材货款的100%，达到付款条件起10日，支付合同总金额的10.00%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报价说明：本次投标根据采购配送数量据实结算，所有投标人的投标报价全部按照每标包的分项预算总价进行报价（如第一标包的分项预算总价为20000000.00元，投标人的投标报价就报20000000.00元）。中标后根据实际采购配送量进行结算。</w:t>
              <w:br/>
              <w:t>2.本项目采购内容根据采购配送数量据实结算，使用量以实际供货为准。</w:t>
              <w:br/>
              <w:t>3.解决问题途径:本项目为电子投标，制作响应文件时请到自治区采购网首页自行学习操作方法(网站上有操作视频)，如遇问题无法解决可直接联系软件公司咨询，包头技术支持0472-5228689，技术支持400-0471-010。</w:t>
              <w:br/>
              <w:t>4、使用系统注意事项:由于本项目采用电子系统招标，招标文件为系统模板，根据具体项目的情况无法准确描述，部分内容只可填空，不可更改。所以招标文件中有不适用之处，敬请见谅。如有问题，请及时联系招标代理机构。 开标注意事项:本项目为远程开标，投标人需提前半小时登录系统进行各投标人信息确认，未进行确认的以报名投标人信息为准，开标时远程解锁。开标时，各投标人必须保证电脑可正常登陆、解密。本项目设置解密、签章确认时限均为30分钟，如投标人在规定时间内无法解密，造成废标的，招标人及招标代理机构不承担任何责任。</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包头市中心医院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2、每批耗材到货验收合格后，6个月之内支付本次所供耗材货款的100%，达到付款条件起10日，支付合同总金额的10.00%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3、每批耗材到货验收合格后，6个月之内支付本次所供耗材货款的100%，达到付款条件起10日，支付合同总金额的10.00%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4、每批耗材到货验收合格后，6个月之内支付本次所供耗材货款的100%，达到付款条件起10日，支付合同总金额的10.00%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5、每批耗材到货验收合格后，6个月之内支付本次所供耗材货款的100%，达到付款条件起10日，支付合同总金额的10.00%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6、每批耗材到货验收合格后，6个月之内支付本次所供耗材货款的100%，达到付款条件起10日，支付合同总金额的10.00%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7、每批耗材到货验收合格后，6个月之内支付本次所供耗材货款的100%，达到付款条件起10日，支付合同总金额的10.00%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8、每批耗材到货验收合格后，6个月之内支付本次所供耗材货款的100%，达到付款条件起10日，支付合同总金额的10.00%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9、每批耗材到货验收合格后，6个月之内支付本次所供耗材货款的100%，达到付款条件起10日，支付合同总金额的10.00%</w:t>
            </w:r>
          </w:p>
          <w:p>
            <w:pPr>
              <w:pStyle w:val="null5"/>
              <w:jc w:val="left"/>
            </w:pPr>
            <w:r>
              <w:rPr>
                <w:rFonts w:ascii="仿宋_GB2312" w:hAnsi="仿宋_GB2312" w:cs="仿宋_GB2312" w:eastAsia="仿宋_GB2312"/>
              </w:rPr>
              <w:t>10、每批耗材到货验收合格后，6个月之内支付本次所供耗材货款的100%，达到付款条件起10日，支付合同总金额的10.00%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报价说明：本次投标根据采购配送数量据实结算，所有投标人的投标报价全部按照每标包的分项预算总价进行报价（如第一标包的分项预算总价为20000000.00元，投标人的投标报价就报20000000.00元）。中标后根据实际采购配送量进行结算。</w:t>
              <w:br/>
              <w:t>2.本项目采购内容根据采购配送数量据实结算，使用量以实际供货为准。</w:t>
              <w:br/>
              <w:t>3.解决问题途径:本项目为电子投标，制作响应文件时请到自治区采购网首页自行学习操作方法(网站上有操作视频)，如遇问题无法解决可直接联系软件公司咨询，包头技术支持0472-5228689，技术支持400-0471-010。</w:t>
              <w:br/>
              <w:t>4、使用系统注意事项:由于本项目采用电子系统招标，招标文件为系统模板，根据具体项目的情况无法准确描述，部分内容只可填空，不可更改。所以招标文件中有不适用之处，敬请见谅。如有问题，请及时联系招标代理机构。 开标注意事项:本项目为远程开标，投标人需提前半小时登录系统进行各投标人信息确认，未进行确认的以报名投标人信息为准，开标时远程解锁。开标时，各投标人必须保证电脑可正常登陆、解密。本项目设置解密、签章确认时限均为30分钟，如投标人在规定时间内无法解密，造成废标的，招标人及招标代理机构不承担任何责任。</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标的名称：医用耗材包1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投标配送全过程的服务方案，深度全面、科学合理、设施配置完善详细符合医院实际情况。采购目录以医院实际需求为准。为医院供应的耗材应首先从内蒙古自治区医疗卫生机构医用耗材采购平台采购（平台上没有的品种除外）。</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挂网耗材执行内蒙古网采最低采购价，非挂网耗材配送价格</w:t>
            </w:r>
            <w:r>
              <w:rPr>
                <w:rFonts w:ascii="仿宋_GB2312" w:hAnsi="仿宋_GB2312" w:cs="仿宋_GB2312" w:eastAsia="仿宋_GB2312"/>
                <w:sz w:val="24"/>
              </w:rPr>
              <w:t>不得高于医院本次招标采购明细中的供货价格</w:t>
            </w:r>
            <w:r>
              <w:rPr>
                <w:rFonts w:ascii="仿宋_GB2312" w:hAnsi="仿宋_GB2312" w:cs="仿宋_GB2312" w:eastAsia="仿宋_GB2312"/>
                <w:sz w:val="24"/>
              </w:rPr>
              <w:t>，如遇内蒙古自治区医疗卫生机构医用耗材采购平台、医保局等部门价格调整或市场价格调整，配送价格也相应做出调整。</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具有集配经验。需配备可满足医院配送需求的专职驻院服务人员。</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企业仓储能力。投标人应具备仓储能力，符合医用耗材仓储条件（具备现代化仓储管理系统、视频监控系统）；诊断试剂需低温冷藏运输储存（具备温湿度监控系统、运输管理系统）。自有库房提供相应的土地使用权证或房产证复印件，租赁的提供租赁合同及产权证明资料复印件。</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投标人配送能力。有具体的保障方法及措施，要求有自有或实际租用的配送专用冷藏车辆，具有自动温度监控记录功能，采用远程监控技术实施实时温度监测及数据上传。（自有车辆提供行车证复印件，租赁车辆提供行车证及租赁协议的复印件，开标截止时间前两个月内购入及租赁不纳入计算）。</w:t>
            </w:r>
          </w:p>
          <w:p>
            <w:pPr>
              <w:pStyle w:val="null5"/>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投标人提供应急情况及退换货方案，并可以承诺提供效期一年以上耗材（检验试剂六个月以上），及时、无偿调换临近三个月效期耗材。</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实行医用耗材采购线上管理，接到服务请求后</w:t>
            </w:r>
            <w:r>
              <w:rPr>
                <w:rFonts w:ascii="仿宋_GB2312" w:hAnsi="仿宋_GB2312" w:cs="仿宋_GB2312" w:eastAsia="仿宋_GB2312"/>
                <w:sz w:val="24"/>
              </w:rPr>
              <w:t>5</w:t>
            </w:r>
            <w:r>
              <w:rPr>
                <w:rFonts w:ascii="仿宋_GB2312" w:hAnsi="仿宋_GB2312" w:cs="仿宋_GB2312" w:eastAsia="仿宋_GB2312"/>
                <w:sz w:val="24"/>
              </w:rPr>
              <w:t>分钟内响应，并及时妥善解决问题；对于已有库存产品遇到临床临时紧急需求时应随时配送，</w:t>
            </w:r>
            <w:r>
              <w:rPr>
                <w:rFonts w:ascii="仿宋_GB2312" w:hAnsi="仿宋_GB2312" w:cs="仿宋_GB2312" w:eastAsia="仿宋_GB2312"/>
                <w:sz w:val="24"/>
              </w:rPr>
              <w:t>工作时间不超过</w:t>
            </w:r>
            <w:r>
              <w:rPr>
                <w:rFonts w:ascii="仿宋_GB2312" w:hAnsi="仿宋_GB2312" w:cs="仿宋_GB2312" w:eastAsia="仿宋_GB2312"/>
                <w:sz w:val="24"/>
              </w:rPr>
              <w:t>30分钟，非工作时间不超过</w:t>
            </w:r>
            <w:r>
              <w:rPr>
                <w:rFonts w:ascii="仿宋_GB2312" w:hAnsi="仿宋_GB2312" w:cs="仿宋_GB2312" w:eastAsia="仿宋_GB2312"/>
                <w:sz w:val="24"/>
              </w:rPr>
              <w:t>1</w:t>
            </w:r>
            <w:r>
              <w:rPr>
                <w:rFonts w:ascii="仿宋_GB2312" w:hAnsi="仿宋_GB2312" w:cs="仿宋_GB2312" w:eastAsia="仿宋_GB2312"/>
                <w:sz w:val="24"/>
              </w:rPr>
              <w:t>个小时。</w:t>
            </w:r>
          </w:p>
          <w:p>
            <w:pPr>
              <w:pStyle w:val="null5"/>
              <w:ind w:firstLine="480"/>
              <w:jc w:val="both"/>
            </w:pPr>
            <w:r>
              <w:rPr>
                <w:rFonts w:ascii="仿宋_GB2312" w:hAnsi="仿宋_GB2312" w:cs="仿宋_GB2312" w:eastAsia="仿宋_GB2312"/>
                <w:sz w:val="24"/>
              </w:rPr>
              <w:t>8.</w:t>
            </w:r>
            <w:r>
              <w:rPr>
                <w:rFonts w:ascii="仿宋_GB2312" w:hAnsi="仿宋_GB2312" w:cs="仿宋_GB2312" w:eastAsia="仿宋_GB2312"/>
                <w:sz w:val="24"/>
              </w:rPr>
              <w:t>医院提供医用耗材周转仓储库房。库房内设施由中标单位提供并满足医用耗材使用说明书中规定的存储要求。中标单位周转库房需按照医院</w:t>
            </w:r>
            <w:r>
              <w:rPr>
                <w:rFonts w:ascii="仿宋_GB2312" w:hAnsi="仿宋_GB2312" w:cs="仿宋_GB2312" w:eastAsia="仿宋_GB2312"/>
                <w:sz w:val="24"/>
              </w:rPr>
              <w:t>45</w:t>
            </w:r>
            <w:r>
              <w:rPr>
                <w:rFonts w:ascii="仿宋_GB2312" w:hAnsi="仿宋_GB2312" w:cs="仿宋_GB2312" w:eastAsia="仿宋_GB2312"/>
                <w:sz w:val="24"/>
              </w:rPr>
              <w:t>天使用量动态存储备货。</w:t>
            </w:r>
          </w:p>
          <w:p>
            <w:pPr>
              <w:pStyle w:val="null5"/>
              <w:jc w:val="both"/>
            </w:pPr>
            <w:r>
              <w:rPr>
                <w:rFonts w:ascii="仿宋_GB2312" w:hAnsi="仿宋_GB2312" w:cs="仿宋_GB2312" w:eastAsia="仿宋_GB2312"/>
                <w:sz w:val="24"/>
              </w:rPr>
              <w:t>注：</w:t>
            </w:r>
            <w:r>
              <w:rPr>
                <w:rFonts w:ascii="仿宋_GB2312" w:hAnsi="仿宋_GB2312" w:cs="仿宋_GB2312" w:eastAsia="仿宋_GB2312"/>
                <w:sz w:val="24"/>
              </w:rPr>
              <w:t>采购清单见附件（此清单为预估采购品目，投标文件中无需按此清单填报单价，中标后按清单中的单价供货，据实结算）。</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标的名称：医用耗材包2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投标配送全过程的服务方案，深度全面、科学合理、设施配置完善详细符合医院实际情况。采购目录以医院实际需求为准。为医院供应的耗材应首先从内蒙古自治区医疗卫生机构医用耗材采购平台采购（平台上没有的品种除外）。</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挂网耗材执行内蒙古网采最低采购价，非挂网耗材配送价格</w:t>
            </w:r>
            <w:r>
              <w:rPr>
                <w:rFonts w:ascii="仿宋_GB2312" w:hAnsi="仿宋_GB2312" w:cs="仿宋_GB2312" w:eastAsia="仿宋_GB2312"/>
                <w:sz w:val="24"/>
              </w:rPr>
              <w:t>不得高于医院本次招标采购明细中的供货价格</w:t>
            </w:r>
            <w:r>
              <w:rPr>
                <w:rFonts w:ascii="仿宋_GB2312" w:hAnsi="仿宋_GB2312" w:cs="仿宋_GB2312" w:eastAsia="仿宋_GB2312"/>
                <w:sz w:val="24"/>
              </w:rPr>
              <w:t>，如遇内蒙古自治区医疗卫生机构医用耗材采购平台、医保局等部门价格调整或市场价格调整，配送价格也相应做出调整。</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具有集配经验。需配备可满足医院配送需求的专职驻院服务人员。</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企业仓储能力。投标人应具备仓储能力，符合医用耗材仓储条件（具备现代化仓储管理系统、视频监控系统）；诊断试剂需低温冷藏运输储存（具备温湿度监控系统、运输管理系统）。自有库房提供相应的土地使用权证或房产证复印件，租赁的提供租赁合同及产权证明资料复印件。</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投标人配送能力。有具体的保障方法及措施，要求有自有或实际租用的配送专用冷藏车辆，具有自动温度监控记录功能，采用远程监控技术实施实时温度监测及数据上传。（自有车辆提供行车证复印件，租赁车辆提供行车证及租赁协议的复印件，开标截止时间前两个月内购入及租赁不纳入计算）。</w:t>
            </w:r>
          </w:p>
          <w:p>
            <w:pPr>
              <w:pStyle w:val="null5"/>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投标人提供应急情况及退换货方案，并可以承诺提供效期一年以上耗材（检验试剂六个月以上），及时、无偿调换临近三个月效期耗材。</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实行医用耗材采购线上管理，接到服务请求后</w:t>
            </w:r>
            <w:r>
              <w:rPr>
                <w:rFonts w:ascii="仿宋_GB2312" w:hAnsi="仿宋_GB2312" w:cs="仿宋_GB2312" w:eastAsia="仿宋_GB2312"/>
                <w:sz w:val="24"/>
              </w:rPr>
              <w:t>5</w:t>
            </w:r>
            <w:r>
              <w:rPr>
                <w:rFonts w:ascii="仿宋_GB2312" w:hAnsi="仿宋_GB2312" w:cs="仿宋_GB2312" w:eastAsia="仿宋_GB2312"/>
                <w:sz w:val="24"/>
              </w:rPr>
              <w:t>分钟内响应，并及时妥善解决问题；对于已有库存产品遇到临床临时紧急需求时应随时配送，</w:t>
            </w:r>
            <w:r>
              <w:rPr>
                <w:rFonts w:ascii="仿宋_GB2312" w:hAnsi="仿宋_GB2312" w:cs="仿宋_GB2312" w:eastAsia="仿宋_GB2312"/>
                <w:sz w:val="24"/>
              </w:rPr>
              <w:t>工作时间不超过</w:t>
            </w:r>
            <w:r>
              <w:rPr>
                <w:rFonts w:ascii="仿宋_GB2312" w:hAnsi="仿宋_GB2312" w:cs="仿宋_GB2312" w:eastAsia="仿宋_GB2312"/>
                <w:sz w:val="24"/>
              </w:rPr>
              <w:t>30分钟，非工作时间不超过</w:t>
            </w:r>
            <w:r>
              <w:rPr>
                <w:rFonts w:ascii="仿宋_GB2312" w:hAnsi="仿宋_GB2312" w:cs="仿宋_GB2312" w:eastAsia="仿宋_GB2312"/>
                <w:sz w:val="24"/>
              </w:rPr>
              <w:t>1</w:t>
            </w:r>
            <w:r>
              <w:rPr>
                <w:rFonts w:ascii="仿宋_GB2312" w:hAnsi="仿宋_GB2312" w:cs="仿宋_GB2312" w:eastAsia="仿宋_GB2312"/>
                <w:sz w:val="24"/>
              </w:rPr>
              <w:t>个小时。</w:t>
            </w:r>
          </w:p>
          <w:p>
            <w:pPr>
              <w:pStyle w:val="null5"/>
              <w:ind w:firstLine="480"/>
              <w:jc w:val="both"/>
            </w:pPr>
            <w:r>
              <w:rPr>
                <w:rFonts w:ascii="仿宋_GB2312" w:hAnsi="仿宋_GB2312" w:cs="仿宋_GB2312" w:eastAsia="仿宋_GB2312"/>
                <w:sz w:val="24"/>
              </w:rPr>
              <w:t>8.</w:t>
            </w:r>
            <w:r>
              <w:rPr>
                <w:rFonts w:ascii="仿宋_GB2312" w:hAnsi="仿宋_GB2312" w:cs="仿宋_GB2312" w:eastAsia="仿宋_GB2312"/>
                <w:sz w:val="24"/>
              </w:rPr>
              <w:t>医院提供医用耗材周转仓储库房。库房内设施由中标单位提供并满足医用耗材使用说明书中规定的存储要求。中标单位周转库房需按照医院</w:t>
            </w:r>
            <w:r>
              <w:rPr>
                <w:rFonts w:ascii="仿宋_GB2312" w:hAnsi="仿宋_GB2312" w:cs="仿宋_GB2312" w:eastAsia="仿宋_GB2312"/>
                <w:sz w:val="24"/>
              </w:rPr>
              <w:t>45</w:t>
            </w:r>
            <w:r>
              <w:rPr>
                <w:rFonts w:ascii="仿宋_GB2312" w:hAnsi="仿宋_GB2312" w:cs="仿宋_GB2312" w:eastAsia="仿宋_GB2312"/>
                <w:sz w:val="24"/>
              </w:rPr>
              <w:t>天使用量动态存储备货。</w:t>
            </w:r>
          </w:p>
          <w:p>
            <w:pPr>
              <w:pStyle w:val="null5"/>
              <w:jc w:val="both"/>
            </w:pPr>
            <w:r>
              <w:rPr>
                <w:rFonts w:ascii="仿宋_GB2312" w:hAnsi="仿宋_GB2312" w:cs="仿宋_GB2312" w:eastAsia="仿宋_GB2312"/>
                <w:sz w:val="24"/>
              </w:rPr>
              <w:t>注：</w:t>
            </w:r>
            <w:r>
              <w:rPr>
                <w:rFonts w:ascii="仿宋_GB2312" w:hAnsi="仿宋_GB2312" w:cs="仿宋_GB2312" w:eastAsia="仿宋_GB2312"/>
                <w:sz w:val="24"/>
              </w:rPr>
              <w:t>采购清单见附件（此清单为预估采购品目，投标文件中无需按此清单填报单价，中标后按清单中的单价供货，据实结算）。</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本项目采购内容根据采购配送数量据实结算，因此报价不作为竞争内容。投标人投标报价需按照每标包的分项预算总价进行报价，（如第一标包的分项预算总价为20000000.00元，投标人的投标报价就报20000000.00元，其他标包同理。）不得出现其他报价，如投标人未按照要求报价，出现否决投标情形，后果自负。</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本项目采购内容根据采购配送数量据实结算，因此报价不作为竞争内容。投标人投标报价需按照每标包的分项预算总价进行报价，（如第一标包的分项预算总价为20000000.00元，投标人的投标报价就报20000000.00元，其他标包同理。）不得出现其他报价，如投标人未按照要求报价，出现否决投标情形，后果自负。</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技术性能指标响应程度</w:t>
            </w:r>
          </w:p>
        </w:tc>
        <w:tc>
          <w:tcPr>
            <w:tcW w:type="dxa" w:w="3115"/>
          </w:tcPr>
          <w:p>
            <w:pPr>
              <w:pStyle w:val="null5"/>
              <w:jc w:val="left"/>
            </w:pPr>
            <w:r>
              <w:rPr>
                <w:rFonts w:ascii="仿宋_GB2312" w:hAnsi="仿宋_GB2312" w:cs="仿宋_GB2312" w:eastAsia="仿宋_GB2312"/>
              </w:rPr>
              <w:t>根据投标文件对招标文件中的技术参数响应打分，完全满足或高于采购需求的得12分，标▲的为重要技术参数，有一项不满足扣3分，未标▲的为一般参数，有一项不满足扣0.5分，扣完为止。注：为防止误评或漏评，投标人需在其技术规格响应表中写明相应的技术佐证材料（提供相关承诺或资料等真实佐证文件），并且标明提供佐证文件的名称、页码（如P1-P9）用于佐证第几条,未提供佐证文件不得分。 （标明佐证资料的页码要求精准，如因标注页码不准确找不到佐证资料造成的后果自负。）</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项目实施方案进行评审：①内容科学完善、全面具体，切合项目实际要求，理解充分，针对不同情况及要求有清晰明确的实施思路，具有完善的可操作性，得10分。②实施方案内容完整、相对合理、充分可行，得7分；③实施方案内容完整、相对合理、有一定可行性，得5分；④实施方案内容较少，措施较合理，得3分；⑤实施方案内容很少，方案相对合理，得1分；⑥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w:t>
            </w:r>
          </w:p>
        </w:tc>
        <w:tc>
          <w:tcPr>
            <w:tcW w:type="dxa" w:w="3115"/>
          </w:tcPr>
          <w:p>
            <w:pPr>
              <w:pStyle w:val="null5"/>
              <w:jc w:val="left"/>
            </w:pPr>
            <w:r>
              <w:rPr>
                <w:rFonts w:ascii="仿宋_GB2312" w:hAnsi="仿宋_GB2312" w:cs="仿宋_GB2312" w:eastAsia="仿宋_GB2312"/>
              </w:rPr>
              <w:t>根据投标人提供的产品质量控制措施，包括但不限于投标产品市场使用率、产品优势等情况进行评审：①有明确的风险识别及应对方案、质量管理条理清晰合理、切合实际的，得10分；②有比较明确的风险识别及应对方案、质量管理条理清晰合理、切合实际的，得7分；③有风险识别及应对方案、质量管理条理相对清晰合理、切合实际的，得5分；④风险识别及应对方案相对完整、质量管理条理一般清晰合理的，得3分；⑤风险识别及应对方案很少、质量管理条理不够清晰的，得1分；⑥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备品备件方案</w:t>
            </w:r>
          </w:p>
        </w:tc>
        <w:tc>
          <w:tcPr>
            <w:tcW w:type="dxa" w:w="3115"/>
          </w:tcPr>
          <w:p>
            <w:pPr>
              <w:pStyle w:val="null5"/>
              <w:jc w:val="left"/>
            </w:pPr>
            <w:r>
              <w:rPr>
                <w:rFonts w:ascii="仿宋_GB2312" w:hAnsi="仿宋_GB2312" w:cs="仿宋_GB2312" w:eastAsia="仿宋_GB2312"/>
              </w:rPr>
              <w:t>根据投标人提供的备品备件方案进行评审：①备件覆盖范围、数量合理性、质量保障、供货保障能力提供完整、详细的产介绍的，得8分；②提供基本完整、一般详细的介绍的，得6分；③提供少部分方案，得4分；④未提供，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退换措施方案</w:t>
            </w:r>
          </w:p>
        </w:tc>
        <w:tc>
          <w:tcPr>
            <w:tcW w:type="dxa" w:w="3115"/>
          </w:tcPr>
          <w:p>
            <w:pPr>
              <w:pStyle w:val="null5"/>
              <w:jc w:val="left"/>
            </w:pPr>
            <w:r>
              <w:rPr>
                <w:rFonts w:ascii="仿宋_GB2312" w:hAnsi="仿宋_GB2312" w:cs="仿宋_GB2312" w:eastAsia="仿宋_GB2312"/>
              </w:rPr>
              <w:t>根据投标人提供退换措施、退换及时性，紧急情况的应对措施，进行综合评审：①产品质量完全满足招标人需求，产品如出现质量问题，提供完善的退换方案，并提供应急处理方案，能够在退换期间提供备件保证招标人正常工作，得5分；②产品质量满足招标人需求，产品如出现质量问题，有一定的退换方案，有一定的应急处理方案，可操作性较强，得3分；③产品质量基本满足招标人需求，产品如出现质量问题，有退换方案及应急处理方案，可操作性一般，得1分；④未提供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供货服务保障承诺</w:t>
            </w:r>
          </w:p>
        </w:tc>
        <w:tc>
          <w:tcPr>
            <w:tcW w:type="dxa" w:w="3115"/>
          </w:tcPr>
          <w:p>
            <w:pPr>
              <w:pStyle w:val="null5"/>
              <w:jc w:val="left"/>
            </w:pPr>
            <w:r>
              <w:rPr>
                <w:rFonts w:ascii="仿宋_GB2312" w:hAnsi="仿宋_GB2312" w:cs="仿宋_GB2312" w:eastAsia="仿宋_GB2312"/>
              </w:rPr>
              <w:t>根据投标人提供的供货服务保障方案（包括服务团队、服务质量、售后服务等）进行评审：①供货服务保障方案、配送服务计划全面细致、结合实际、措施具体的，得10分；②供货服务保障方案相对完整，清楚，全面，无明显错漏，得7分；③供货服务保障方案一般完整，清楚，全面，无明显错漏，得5分；④供货服务保障方案不够完整，表述不清楚，得3分；⑤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投标人每提供一项近3年（2022年1月至今）类似业绩的（类似业绩指：医用耗材配送或供货业绩），得3分，本项最多得9分。（业绩证明材料以已签署的合同或中标通知书）；</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中标投标人须在发布中标通知书之日起三个月内拿到所有采购品目的配送要求。（提供承诺）</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所有投标人的投标报价全部按照每标包的分项预算总价进行报价（如第一标包的分项预算总价为20000000.00元，投标人的投标报价就报20000000.00元，其他标包同理。） 投标人投标报价均得30分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技术性能指标响应程度</w:t>
            </w:r>
          </w:p>
        </w:tc>
        <w:tc>
          <w:tcPr>
            <w:tcW w:type="dxa" w:w="3115"/>
          </w:tcPr>
          <w:p>
            <w:pPr>
              <w:pStyle w:val="null5"/>
              <w:jc w:val="left"/>
            </w:pPr>
            <w:r>
              <w:rPr>
                <w:rFonts w:ascii="仿宋_GB2312" w:hAnsi="仿宋_GB2312" w:cs="仿宋_GB2312" w:eastAsia="仿宋_GB2312"/>
              </w:rPr>
              <w:t>根据投标文件对招标文件中的技术参数响应打分，完全满足或高于采购需求的得12分，标▲的为重要技术参数，有一项不满足扣3分，未标▲的为一般参数，有一项不满足扣0.5分，扣完为止。注：为防止误评或漏评，投标人需在其技术规格响应表中写明相应的技术佐证材料（提供相关承诺或资料等真实佐证文件），并且标明提供佐证文件的名称、页码（如P1-P9）用于佐证第几条,未提供佐证文件不得分。 （标明佐证资料的页码要求精准，如因标注页码不准确找不到佐证资料造成的后果自负。）</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项目实施方案进行评审：①内容科学完善、全面具体，切合项目实际要求，理解充分，针对不同情况及要求有清晰明确的实施思路，具有完善的可操作性，得10分。②实施方案内容完整、相对合理、充分可行，得7分；③实施方案内容完整、相对合理、有一定可行性，得5分；④实施方案内容较少，措施较合理，得3分；⑤实施方案内容很少，方案相对合理，得1分；⑥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w:t>
            </w:r>
          </w:p>
        </w:tc>
        <w:tc>
          <w:tcPr>
            <w:tcW w:type="dxa" w:w="3115"/>
          </w:tcPr>
          <w:p>
            <w:pPr>
              <w:pStyle w:val="null5"/>
              <w:jc w:val="left"/>
            </w:pPr>
            <w:r>
              <w:rPr>
                <w:rFonts w:ascii="仿宋_GB2312" w:hAnsi="仿宋_GB2312" w:cs="仿宋_GB2312" w:eastAsia="仿宋_GB2312"/>
              </w:rPr>
              <w:t>根据投标人提供的产品质量控制措施，包括但不限于投标产品市场使用率、产品优势等情况进行评审：①有明确的风险识别及应对方案、质量管理条理清晰合理、切合实际的，得10分；②有比较明确的风险识别及应对方案、质量管理条理清晰合理、切合实际的，得7分；③有风险识别及应对方案、质量管理条理相对清晰合理、切合实际的，得5分；④风险识别及应对方案相对完整、质量管理条理一般清晰合理的，得3分；⑤风险识别及应对方案很少、质量管理条理不够清晰的，得1分；⑥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备品备件方案</w:t>
            </w:r>
          </w:p>
        </w:tc>
        <w:tc>
          <w:tcPr>
            <w:tcW w:type="dxa" w:w="3115"/>
          </w:tcPr>
          <w:p>
            <w:pPr>
              <w:pStyle w:val="null5"/>
              <w:jc w:val="left"/>
            </w:pPr>
            <w:r>
              <w:rPr>
                <w:rFonts w:ascii="仿宋_GB2312" w:hAnsi="仿宋_GB2312" w:cs="仿宋_GB2312" w:eastAsia="仿宋_GB2312"/>
              </w:rPr>
              <w:t>根据投标人提供的备品备件方案进行评审：①备件覆盖范围、数量合理性、质量保障、供货保障能力提供完整、详细的产介绍的，得8分；②提供基本完整、一般详细的介绍的，得6分；③提供少部分方案，得4分；④未提供，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退换措施方案</w:t>
            </w:r>
          </w:p>
        </w:tc>
        <w:tc>
          <w:tcPr>
            <w:tcW w:type="dxa" w:w="3115"/>
          </w:tcPr>
          <w:p>
            <w:pPr>
              <w:pStyle w:val="null5"/>
              <w:jc w:val="left"/>
            </w:pPr>
            <w:r>
              <w:rPr>
                <w:rFonts w:ascii="仿宋_GB2312" w:hAnsi="仿宋_GB2312" w:cs="仿宋_GB2312" w:eastAsia="仿宋_GB2312"/>
              </w:rPr>
              <w:t>根据投标人提供退换措施、退换及时性，紧急情况的应对措施，进行综合评审：①产品质量完全满足招标人需求，产品如出现质量问题，提供完善的退换方案，并提供应急处理方案，能够在退换期间提供备件保证招标人正常工作，得5分；②产品质量满足招标人需求，产品如出现质量问题，有一定的退换方案，有一定的应急处理方案，可操作性较强，得3分；③产品质量基本满足招标人需求，产品如出现质量问题，有退换方案及应急处理方案，可操作性一般，得1分；④未提供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供货服务保障承诺</w:t>
            </w:r>
          </w:p>
        </w:tc>
        <w:tc>
          <w:tcPr>
            <w:tcW w:type="dxa" w:w="3115"/>
          </w:tcPr>
          <w:p>
            <w:pPr>
              <w:pStyle w:val="null5"/>
              <w:jc w:val="left"/>
            </w:pPr>
            <w:r>
              <w:rPr>
                <w:rFonts w:ascii="仿宋_GB2312" w:hAnsi="仿宋_GB2312" w:cs="仿宋_GB2312" w:eastAsia="仿宋_GB2312"/>
              </w:rPr>
              <w:t>根据投标人提供的供货服务保障方案（包括服务团队、服务质量、售后服务等）进行评审：①供货服务保障方案、配送服务计划全面细致、结合实际、措施具体的，得10分；②供货服务保障方案相对完整，清楚，全面，无明显错漏，得7分；③供货服务保障方案一般完整，清楚，全面，无明显错漏，得5分；④供货服务保障方案不够完整，表述不清楚，得3分；⑤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投标人每提供一项近3年（2022年1月至今）类似业绩的（类似业绩指：医用耗材配送或供货业绩），得3分，本项最多得9分。（业绩证明材料以已签署的合同或中标通知书）；</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中标投标人须在发布中标通知书之日起三个月内拿到所有采购品目的配送要求。（提供承诺）</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所有投标人的投标报价全部按照每标包的分项预算总价进行报价（如第一标包的分项预算总价为20000000.00元，投标人的投标报价就报20000000.00元，其他标包同理。） 投标人投标报价均得30分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